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787D" w14:textId="77777777" w:rsidR="00405177" w:rsidRDefault="00EE0552" w:rsidP="00EE0552">
      <w:pPr>
        <w:pBdr>
          <w:top w:val="nil"/>
          <w:left w:val="nil"/>
          <w:bottom w:val="nil"/>
          <w:right w:val="nil"/>
          <w:between w:val="nil"/>
        </w:pBdr>
        <w:spacing w:after="0" w:line="240" w:lineRule="auto"/>
        <w:rPr>
          <w:rFonts w:ascii="Arial" w:eastAsia="Arial" w:hAnsi="Arial" w:cs="Arial"/>
          <w:color w:val="000000"/>
          <w:sz w:val="20"/>
          <w:szCs w:val="20"/>
        </w:rPr>
      </w:pPr>
      <w:r>
        <w:rPr>
          <w:noProof/>
        </w:rPr>
        <w:drawing>
          <wp:anchor distT="0" distB="0" distL="114300" distR="114300" simplePos="0" relativeHeight="251662336" behindDoc="0" locked="0" layoutInCell="1" hidden="0" allowOverlap="1" wp14:anchorId="156DD657" wp14:editId="31C4796F">
            <wp:simplePos x="0" y="0"/>
            <wp:positionH relativeFrom="column">
              <wp:posOffset>2838450</wp:posOffset>
            </wp:positionH>
            <wp:positionV relativeFrom="paragraph">
              <wp:posOffset>-800735</wp:posOffset>
            </wp:positionV>
            <wp:extent cx="1924050" cy="108585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descr="GdO_logo"/>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924050" cy="10858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14:anchorId="59736925" wp14:editId="3B9597C5">
            <wp:simplePos x="0" y="0"/>
            <wp:positionH relativeFrom="column">
              <wp:posOffset>709295</wp:posOffset>
            </wp:positionH>
            <wp:positionV relativeFrom="paragraph">
              <wp:posOffset>-800735</wp:posOffset>
            </wp:positionV>
            <wp:extent cx="2035810" cy="1085850"/>
            <wp:effectExtent l="0" t="0" r="2540" b="0"/>
            <wp:wrapNone/>
            <wp:docPr id="3" name="image1.jpg" descr="GdO_logo"/>
            <wp:cNvGraphicFramePr/>
            <a:graphic xmlns:a="http://schemas.openxmlformats.org/drawingml/2006/main">
              <a:graphicData uri="http://schemas.openxmlformats.org/drawingml/2006/picture">
                <pic:pic xmlns:pic="http://schemas.openxmlformats.org/drawingml/2006/picture">
                  <pic:nvPicPr>
                    <pic:cNvPr id="0" name="image1.jpg" descr="GdO_logo"/>
                    <pic:cNvPicPr preferRelativeResize="0"/>
                  </pic:nvPicPr>
                  <pic:blipFill>
                    <a:blip r:embed="rId8"/>
                    <a:srcRect/>
                    <a:stretch>
                      <a:fillRect/>
                    </a:stretch>
                  </pic:blipFill>
                  <pic:spPr>
                    <a:xfrm>
                      <a:off x="0" y="0"/>
                      <a:ext cx="2035810" cy="1085850"/>
                    </a:xfrm>
                    <a:prstGeom prst="rect">
                      <a:avLst/>
                    </a:prstGeom>
                    <a:ln/>
                  </pic:spPr>
                </pic:pic>
              </a:graphicData>
            </a:graphic>
            <wp14:sizeRelH relativeFrom="margin">
              <wp14:pctWidth>0</wp14:pctWidth>
            </wp14:sizeRelH>
            <wp14:sizeRelV relativeFrom="margin">
              <wp14:pctHeight>0</wp14:pctHeight>
            </wp14:sizeRelV>
          </wp:anchor>
        </w:drawing>
      </w:r>
    </w:p>
    <w:p w14:paraId="583D07DC" w14:textId="77777777" w:rsidR="00405177" w:rsidRDefault="00405177">
      <w:pPr>
        <w:spacing w:after="0" w:line="480" w:lineRule="auto"/>
        <w:jc w:val="center"/>
        <w:rPr>
          <w:rFonts w:ascii="Arial" w:eastAsia="Arial" w:hAnsi="Arial" w:cs="Arial"/>
          <w:b/>
          <w:sz w:val="20"/>
          <w:szCs w:val="20"/>
        </w:rPr>
      </w:pPr>
    </w:p>
    <w:p w14:paraId="38636275" w14:textId="77777777" w:rsidR="00484638" w:rsidRDefault="00484638" w:rsidP="00484638">
      <w:pPr>
        <w:pBdr>
          <w:bottom w:val="single" w:sz="12" w:space="0" w:color="FFC000"/>
        </w:pBdr>
        <w:spacing w:after="0" w:line="240" w:lineRule="auto"/>
        <w:jc w:val="center"/>
        <w:rPr>
          <w:rFonts w:ascii="Arial" w:eastAsia="Arial" w:hAnsi="Arial" w:cs="Arial"/>
          <w:b/>
          <w:sz w:val="20"/>
          <w:szCs w:val="20"/>
        </w:rPr>
      </w:pPr>
    </w:p>
    <w:p w14:paraId="57C4ECAF" w14:textId="77777777" w:rsidR="00484638" w:rsidRDefault="00484638" w:rsidP="00484638">
      <w:pPr>
        <w:spacing w:after="0" w:line="240" w:lineRule="auto"/>
        <w:jc w:val="both"/>
        <w:rPr>
          <w:rFonts w:ascii="Arial" w:eastAsia="Arial" w:hAnsi="Arial" w:cs="Arial"/>
          <w:sz w:val="18"/>
          <w:szCs w:val="18"/>
        </w:rPr>
      </w:pPr>
    </w:p>
    <w:p w14:paraId="38B8C8AC" w14:textId="63D16E88" w:rsidR="00405177" w:rsidRDefault="00484638" w:rsidP="003E7AF5">
      <w:pPr>
        <w:pBdr>
          <w:bottom w:val="single" w:sz="12" w:space="0" w:color="FFC000"/>
        </w:pBdr>
        <w:spacing w:after="0" w:line="240" w:lineRule="auto"/>
        <w:jc w:val="center"/>
        <w:rPr>
          <w:rFonts w:ascii="Arial" w:eastAsia="Arial" w:hAnsi="Arial" w:cs="Arial"/>
          <w:b/>
          <w:sz w:val="20"/>
          <w:szCs w:val="20"/>
        </w:rPr>
      </w:pPr>
      <w:r>
        <w:rPr>
          <w:rFonts w:ascii="Arial" w:eastAsia="Arial" w:hAnsi="Arial" w:cs="Arial"/>
          <w:b/>
          <w:sz w:val="20"/>
          <w:szCs w:val="20"/>
        </w:rPr>
        <w:t>PRIX GESTE D’OR / HERITECH : DOSSIER DE CANDIDATURE</w:t>
      </w:r>
      <w:r>
        <w:rPr>
          <w:rFonts w:ascii="Arial" w:eastAsia="Arial" w:hAnsi="Arial" w:cs="Arial"/>
          <w:b/>
          <w:sz w:val="20"/>
          <w:szCs w:val="20"/>
        </w:rPr>
        <w:br/>
      </w:r>
    </w:p>
    <w:p w14:paraId="23F732D2" w14:textId="77777777" w:rsidR="00405177" w:rsidRDefault="00405177">
      <w:pPr>
        <w:spacing w:after="0" w:line="240" w:lineRule="auto"/>
        <w:jc w:val="both"/>
        <w:rPr>
          <w:rFonts w:ascii="Arial" w:eastAsia="Arial" w:hAnsi="Arial" w:cs="Arial"/>
          <w:sz w:val="18"/>
          <w:szCs w:val="18"/>
        </w:rPr>
      </w:pPr>
    </w:p>
    <w:p w14:paraId="1055E486" w14:textId="77777777" w:rsidR="003E7AF5" w:rsidRDefault="003E7AF5" w:rsidP="003E7AF5">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r>
        <w:rPr>
          <w:rFonts w:ascii="Arial" w:hAnsi="Arial" w:cs="Arial"/>
          <w:b/>
          <w:sz w:val="18"/>
          <w:szCs w:val="18"/>
        </w:rPr>
        <w:t>NOM DU DOSSIER :</w:t>
      </w:r>
    </w:p>
    <w:p w14:paraId="2BB1DBBE" w14:textId="5F0AEC7E" w:rsidR="003E7AF5" w:rsidRDefault="003E7AF5" w:rsidP="003E7AF5">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r>
        <w:rPr>
          <w:rFonts w:ascii="Arial" w:hAnsi="Arial" w:cs="Arial"/>
          <w:b/>
          <w:sz w:val="18"/>
          <w:szCs w:val="18"/>
        </w:rPr>
        <w:t>EQUIPE CANDIDATE :</w:t>
      </w:r>
    </w:p>
    <w:p w14:paraId="1B7E51E4" w14:textId="411F7A3C" w:rsidR="003E7AF5" w:rsidRDefault="003E7AF5" w:rsidP="003E7AF5">
      <w:pPr>
        <w:jc w:val="center"/>
        <w:rPr>
          <w:rFonts w:ascii="Arial" w:hAnsi="Arial" w:cs="Arial"/>
          <w:b/>
          <w:sz w:val="18"/>
          <w:szCs w:val="18"/>
        </w:rPr>
      </w:pPr>
      <w:r>
        <w:rPr>
          <w:rFonts w:ascii="Arial" w:hAnsi="Arial" w:cs="Arial"/>
          <w:b/>
          <w:sz w:val="18"/>
          <w:szCs w:val="18"/>
        </w:rPr>
        <w:br/>
      </w:r>
    </w:p>
    <w:p w14:paraId="175DE66D" w14:textId="77777777" w:rsidR="00484638" w:rsidRDefault="00484638" w:rsidP="00484638">
      <w:pPr>
        <w:jc w:val="center"/>
        <w:rPr>
          <w:rFonts w:ascii="Arial" w:hAnsi="Arial" w:cs="Arial"/>
          <w:b/>
          <w:sz w:val="18"/>
          <w:szCs w:val="18"/>
        </w:rPr>
      </w:pPr>
    </w:p>
    <w:p w14:paraId="085D9308" w14:textId="77777777" w:rsidR="00484638" w:rsidRPr="00484638" w:rsidRDefault="00484638" w:rsidP="00484638">
      <w:pPr>
        <w:jc w:val="center"/>
        <w:rPr>
          <w:rFonts w:ascii="Arial" w:hAnsi="Arial" w:cs="Arial"/>
          <w:sz w:val="18"/>
          <w:szCs w:val="18"/>
        </w:rPr>
      </w:pPr>
      <w:r w:rsidRPr="00484638">
        <w:rPr>
          <w:rFonts w:ascii="Arial" w:hAnsi="Arial" w:cs="Arial"/>
          <w:b/>
          <w:sz w:val="18"/>
          <w:szCs w:val="18"/>
        </w:rPr>
        <w:t xml:space="preserve">Le Prix Geste d’Or – </w:t>
      </w:r>
      <w:proofErr w:type="spellStart"/>
      <w:r w:rsidRPr="00484638">
        <w:rPr>
          <w:rFonts w:ascii="Arial" w:hAnsi="Arial" w:cs="Arial"/>
          <w:b/>
          <w:sz w:val="18"/>
          <w:szCs w:val="18"/>
        </w:rPr>
        <w:t>Heritech</w:t>
      </w:r>
      <w:proofErr w:type="spellEnd"/>
      <w:r w:rsidRPr="00484638">
        <w:rPr>
          <w:rFonts w:ascii="Arial" w:hAnsi="Arial" w:cs="Arial"/>
          <w:sz w:val="18"/>
          <w:szCs w:val="18"/>
        </w:rPr>
        <w:t xml:space="preserve"> s’est donné pour mission de distinguer un territoire français qui s’est emparé de ses patrimoines à travers les technologies numériques afin d’en développer la compréhension, l’audience, de décupler l’émotion de sa découverte et de favoriser une médiation patrimoniale large et inclusive tout en générant un impact positif sur le territoire.</w:t>
      </w:r>
    </w:p>
    <w:p w14:paraId="08DE4C90" w14:textId="77777777" w:rsidR="00484638" w:rsidRPr="00484638" w:rsidRDefault="00484638" w:rsidP="00484638">
      <w:pPr>
        <w:jc w:val="center"/>
        <w:rPr>
          <w:rFonts w:ascii="Arial" w:hAnsi="Arial" w:cs="Arial"/>
          <w:sz w:val="18"/>
          <w:szCs w:val="18"/>
        </w:rPr>
      </w:pPr>
      <w:r w:rsidRPr="00484638">
        <w:rPr>
          <w:rFonts w:ascii="Arial" w:hAnsi="Arial" w:cs="Arial"/>
          <w:sz w:val="18"/>
          <w:szCs w:val="18"/>
        </w:rPr>
        <w:t>Le Prix est remis conjointement au territoire candidat et au(x) maître(s) d’œuvre(s) ayant réalisé l’action.</w:t>
      </w:r>
    </w:p>
    <w:p w14:paraId="532BDBB2" w14:textId="77777777" w:rsidR="00484638" w:rsidRDefault="00484638" w:rsidP="00484638">
      <w:pPr>
        <w:pBdr>
          <w:bottom w:val="single" w:sz="12" w:space="0" w:color="FFC000"/>
        </w:pBdr>
        <w:spacing w:after="0" w:line="240" w:lineRule="auto"/>
        <w:jc w:val="center"/>
        <w:rPr>
          <w:rFonts w:ascii="Arial" w:eastAsia="Arial" w:hAnsi="Arial" w:cs="Arial"/>
          <w:b/>
          <w:sz w:val="20"/>
          <w:szCs w:val="20"/>
        </w:rPr>
      </w:pPr>
    </w:p>
    <w:p w14:paraId="54981C05" w14:textId="77777777" w:rsidR="00484638" w:rsidRDefault="00484638" w:rsidP="00484638">
      <w:pPr>
        <w:pBdr>
          <w:bottom w:val="single" w:sz="12" w:space="0" w:color="FFC000"/>
        </w:pBdr>
        <w:spacing w:after="0" w:line="240" w:lineRule="auto"/>
        <w:jc w:val="center"/>
        <w:rPr>
          <w:rFonts w:ascii="Arial" w:eastAsia="Arial" w:hAnsi="Arial" w:cs="Arial"/>
          <w:b/>
          <w:sz w:val="20"/>
          <w:szCs w:val="20"/>
        </w:rPr>
      </w:pPr>
    </w:p>
    <w:p w14:paraId="6A77DC48" w14:textId="77777777" w:rsidR="00484638" w:rsidRDefault="00484638" w:rsidP="00484638">
      <w:pPr>
        <w:pBdr>
          <w:bottom w:val="single" w:sz="12" w:space="0" w:color="FFC000"/>
        </w:pBdr>
        <w:spacing w:after="0" w:line="240" w:lineRule="auto"/>
        <w:jc w:val="center"/>
        <w:rPr>
          <w:rFonts w:ascii="Arial" w:eastAsia="Arial" w:hAnsi="Arial" w:cs="Arial"/>
          <w:b/>
          <w:sz w:val="20"/>
          <w:szCs w:val="20"/>
        </w:rPr>
      </w:pPr>
    </w:p>
    <w:p w14:paraId="134AA8A6" w14:textId="77777777" w:rsidR="00484638" w:rsidRDefault="00484638" w:rsidP="00484638">
      <w:pPr>
        <w:spacing w:after="0" w:line="240" w:lineRule="auto"/>
        <w:jc w:val="both"/>
        <w:rPr>
          <w:rFonts w:ascii="Arial" w:eastAsia="Arial" w:hAnsi="Arial" w:cs="Arial"/>
          <w:sz w:val="18"/>
          <w:szCs w:val="18"/>
        </w:rPr>
      </w:pPr>
    </w:p>
    <w:p w14:paraId="3234B0C3" w14:textId="77777777" w:rsidR="00484638" w:rsidRDefault="00484638" w:rsidP="00484638">
      <w:pPr>
        <w:jc w:val="center"/>
        <w:rPr>
          <w:rFonts w:ascii="Arial" w:hAnsi="Arial" w:cs="Arial"/>
          <w:b/>
          <w:bCs/>
          <w:sz w:val="18"/>
          <w:szCs w:val="18"/>
        </w:rPr>
      </w:pPr>
    </w:p>
    <w:p w14:paraId="2A6DF51E" w14:textId="77777777" w:rsidR="00484638" w:rsidRDefault="00484638" w:rsidP="00484638">
      <w:pPr>
        <w:jc w:val="center"/>
        <w:rPr>
          <w:rFonts w:ascii="Arial" w:hAnsi="Arial" w:cs="Arial"/>
          <w:b/>
          <w:bCs/>
          <w:sz w:val="18"/>
          <w:szCs w:val="18"/>
        </w:rPr>
      </w:pPr>
    </w:p>
    <w:p w14:paraId="5761564A" w14:textId="77777777" w:rsidR="00484638" w:rsidRPr="00484638" w:rsidRDefault="00484638" w:rsidP="00484638">
      <w:pPr>
        <w:jc w:val="center"/>
        <w:rPr>
          <w:rFonts w:ascii="Arial" w:hAnsi="Arial" w:cs="Arial"/>
          <w:b/>
          <w:bCs/>
          <w:sz w:val="18"/>
          <w:szCs w:val="18"/>
        </w:rPr>
      </w:pPr>
      <w:r w:rsidRPr="00484638">
        <w:rPr>
          <w:rFonts w:ascii="Arial" w:hAnsi="Arial" w:cs="Arial"/>
          <w:b/>
          <w:bCs/>
          <w:sz w:val="18"/>
          <w:szCs w:val="18"/>
        </w:rPr>
        <w:t>Le Jury prend en considération plusieurs éléments-clés :</w:t>
      </w:r>
    </w:p>
    <w:p w14:paraId="4C383F48" w14:textId="77777777" w:rsidR="00484638" w:rsidRPr="00484638" w:rsidRDefault="00484638" w:rsidP="00484638">
      <w:pPr>
        <w:pStyle w:val="Paragraphedeliste"/>
        <w:numPr>
          <w:ilvl w:val="0"/>
          <w:numId w:val="3"/>
        </w:numPr>
        <w:rPr>
          <w:rFonts w:ascii="Arial" w:hAnsi="Arial" w:cs="Arial"/>
          <w:sz w:val="18"/>
          <w:szCs w:val="18"/>
        </w:rPr>
      </w:pPr>
      <w:r w:rsidRPr="00484638">
        <w:rPr>
          <w:rFonts w:ascii="Arial" w:hAnsi="Arial" w:cs="Arial"/>
          <w:sz w:val="18"/>
          <w:szCs w:val="18"/>
        </w:rPr>
        <w:t>La contribution de l’action conduite à la préservation et à la protection du patrimoine digitalisé ; l’action est-elle protectrice ?</w:t>
      </w:r>
    </w:p>
    <w:p w14:paraId="24E0844D" w14:textId="77777777" w:rsidR="00484638" w:rsidRPr="00484638" w:rsidRDefault="00484638" w:rsidP="00484638">
      <w:pPr>
        <w:pStyle w:val="Paragraphedeliste"/>
        <w:numPr>
          <w:ilvl w:val="0"/>
          <w:numId w:val="3"/>
        </w:numPr>
        <w:rPr>
          <w:rFonts w:ascii="Arial" w:hAnsi="Arial" w:cs="Arial"/>
          <w:sz w:val="18"/>
          <w:szCs w:val="18"/>
        </w:rPr>
      </w:pPr>
      <w:r w:rsidRPr="00484638">
        <w:rPr>
          <w:rFonts w:ascii="Arial" w:hAnsi="Arial" w:cs="Arial"/>
          <w:sz w:val="18"/>
          <w:szCs w:val="18"/>
        </w:rPr>
        <w:t>La contribution de l’action à la profondeur et à la richesse de la découverte. Autrement dit, l’expérience digitale doit apporter « plus » de sens et de connaissance que l’expérience qui ne serait pas numérique ; l’expérience est-elle « augmentée » ?</w:t>
      </w:r>
    </w:p>
    <w:p w14:paraId="54403AF7" w14:textId="77777777" w:rsidR="00484638" w:rsidRPr="00484638" w:rsidRDefault="00484638" w:rsidP="00484638">
      <w:pPr>
        <w:pStyle w:val="Paragraphedeliste"/>
        <w:numPr>
          <w:ilvl w:val="0"/>
          <w:numId w:val="3"/>
        </w:numPr>
        <w:rPr>
          <w:rFonts w:ascii="Arial" w:hAnsi="Arial" w:cs="Arial"/>
          <w:sz w:val="18"/>
          <w:szCs w:val="18"/>
        </w:rPr>
      </w:pPr>
      <w:r w:rsidRPr="00484638">
        <w:rPr>
          <w:rFonts w:ascii="Arial" w:hAnsi="Arial" w:cs="Arial"/>
          <w:sz w:val="18"/>
          <w:szCs w:val="18"/>
        </w:rPr>
        <w:t>La méthode et les processus conçus et employés pour la conduite de projet, et leur caractère innovant et/ou reproductible ; les porteurs de projets ont-ils envie d’inventer et de transmettre ?</w:t>
      </w:r>
    </w:p>
    <w:p w14:paraId="3F22EA06" w14:textId="77777777" w:rsidR="00484638" w:rsidRPr="00484638" w:rsidRDefault="00484638" w:rsidP="00484638">
      <w:pPr>
        <w:pStyle w:val="Paragraphedeliste"/>
        <w:numPr>
          <w:ilvl w:val="0"/>
          <w:numId w:val="3"/>
        </w:numPr>
        <w:rPr>
          <w:rFonts w:ascii="Arial" w:hAnsi="Arial" w:cs="Arial"/>
          <w:sz w:val="18"/>
          <w:szCs w:val="18"/>
        </w:rPr>
      </w:pPr>
      <w:r w:rsidRPr="00484638">
        <w:rPr>
          <w:rFonts w:ascii="Arial" w:hAnsi="Arial" w:cs="Arial"/>
          <w:sz w:val="18"/>
          <w:szCs w:val="18"/>
        </w:rPr>
        <w:t>Le caractère évolutif de l’action et l’anticipation des mises à jour à venir ; l’action constitue-t-elle un objet vivant, qui accompagne le territoire dans le temps ?</w:t>
      </w:r>
    </w:p>
    <w:p w14:paraId="3978CF48" w14:textId="77777777" w:rsidR="00484638" w:rsidRPr="00484638" w:rsidRDefault="00484638" w:rsidP="00484638">
      <w:pPr>
        <w:rPr>
          <w:rFonts w:ascii="Arial" w:hAnsi="Arial" w:cs="Arial"/>
          <w:sz w:val="18"/>
          <w:szCs w:val="18"/>
        </w:rPr>
      </w:pPr>
    </w:p>
    <w:p w14:paraId="6AB4D498" w14:textId="77777777" w:rsidR="00484638" w:rsidRDefault="00484638" w:rsidP="00484638">
      <w:pPr>
        <w:jc w:val="center"/>
        <w:rPr>
          <w:rFonts w:ascii="Arial" w:hAnsi="Arial" w:cs="Arial"/>
          <w:b/>
          <w:sz w:val="18"/>
          <w:szCs w:val="18"/>
        </w:rPr>
      </w:pPr>
      <w:r w:rsidRPr="00484638">
        <w:rPr>
          <w:rFonts w:ascii="Arial" w:hAnsi="Arial" w:cs="Arial"/>
          <w:b/>
          <w:sz w:val="18"/>
          <w:szCs w:val="18"/>
        </w:rPr>
        <w:t>La candidature intègre la remise d’un dossier de présentation libre répondant aux points 1 et 2 et le questionnaire d’auto-évaluation ci-après (3).</w:t>
      </w:r>
    </w:p>
    <w:p w14:paraId="364CCA73" w14:textId="77777777" w:rsidR="00484638" w:rsidRDefault="00484638" w:rsidP="00484638">
      <w:pPr>
        <w:jc w:val="center"/>
        <w:rPr>
          <w:rFonts w:ascii="Arial" w:hAnsi="Arial" w:cs="Arial"/>
          <w:b/>
          <w:sz w:val="18"/>
          <w:szCs w:val="18"/>
        </w:rPr>
      </w:pPr>
    </w:p>
    <w:p w14:paraId="3AFF6197" w14:textId="77777777" w:rsidR="00484638" w:rsidRPr="00484638" w:rsidRDefault="00484638" w:rsidP="00484638">
      <w:pPr>
        <w:jc w:val="center"/>
        <w:rPr>
          <w:rFonts w:ascii="Arial" w:hAnsi="Arial" w:cs="Arial"/>
          <w:b/>
          <w:sz w:val="18"/>
          <w:szCs w:val="18"/>
        </w:rPr>
      </w:pPr>
    </w:p>
    <w:p w14:paraId="724FA017" w14:textId="77777777" w:rsidR="00405177" w:rsidRDefault="00405177">
      <w:pPr>
        <w:pBdr>
          <w:top w:val="nil"/>
          <w:left w:val="nil"/>
          <w:bottom w:val="nil"/>
          <w:right w:val="nil"/>
          <w:between w:val="nil"/>
        </w:pBdr>
        <w:spacing w:after="0" w:line="240" w:lineRule="auto"/>
        <w:jc w:val="both"/>
        <w:rPr>
          <w:rFonts w:ascii="Arial" w:eastAsia="Arial" w:hAnsi="Arial" w:cs="Arial"/>
          <w:color w:val="000000"/>
          <w:sz w:val="28"/>
          <w:szCs w:val="28"/>
        </w:rPr>
      </w:pPr>
    </w:p>
    <w:p w14:paraId="73BD8212" w14:textId="77777777" w:rsidR="00405177" w:rsidRDefault="000020F8">
      <w:pPr>
        <w:widowControl w:val="0"/>
        <w:rPr>
          <w:rFonts w:ascii="Arial" w:eastAsia="Arial" w:hAnsi="Arial" w:cs="Arial"/>
          <w:b/>
          <w:sz w:val="20"/>
          <w:szCs w:val="20"/>
        </w:rPr>
      </w:pPr>
      <w:r>
        <w:rPr>
          <w:noProof/>
        </w:rPr>
        <mc:AlternateContent>
          <mc:Choice Requires="wps">
            <w:drawing>
              <wp:anchor distT="0" distB="0" distL="114300" distR="114300" simplePos="0" relativeHeight="251660288" behindDoc="0" locked="0" layoutInCell="1" hidden="0" allowOverlap="1" wp14:anchorId="74EC268C" wp14:editId="228FBBBA">
                <wp:simplePos x="0" y="0"/>
                <wp:positionH relativeFrom="column">
                  <wp:posOffset>1</wp:posOffset>
                </wp:positionH>
                <wp:positionV relativeFrom="paragraph">
                  <wp:posOffset>38100</wp:posOffset>
                </wp:positionV>
                <wp:extent cx="5943600" cy="12700"/>
                <wp:effectExtent l="0" t="0" r="0" b="0"/>
                <wp:wrapNone/>
                <wp:docPr id="1" name="Connecteur droit avec flèche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FED000"/>
                          </a:solidFill>
                          <a:prstDash val="solid"/>
                          <a:round/>
                          <a:headEnd type="none" w="med" len="med"/>
                          <a:tailEnd type="none" w="med" len="med"/>
                        </a:ln>
                      </wps:spPr>
                      <wps:bodyPr/>
                    </wps:wsp>
                  </a:graphicData>
                </a:graphic>
              </wp:anchor>
            </w:drawing>
          </mc:Choice>
          <mc:Fallback>
            <w:pict>
              <v:shapetype w14:anchorId="2901C2A7" id="_x0000_t32" coordsize="21600,21600" o:spt="32" o:oned="t" path="m,l21600,21600e" filled="f">
                <v:path arrowok="t" fillok="f" o:connecttype="none"/>
                <o:lock v:ext="edit" shapetype="t"/>
              </v:shapetype>
              <v:shape id="Connecteur droit avec flèche 1" o:spid="_x0000_s1026" type="#_x0000_t32" style="position:absolute;margin-left:0;margin-top:3pt;width:468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NJzAEAAI4DAAAOAAAAZHJzL2Uyb0RvYy54bWysU8luGzEMvRfoPwi61zO20zgxPM7Bjnsp&#10;2gBpP0DWMiNAG0jFY/99KdmNu1yKoHPQSCL5+PhIrR6O3rGDBrQxdHw6aTnTQUZlQ9/x7992H+44&#10;wyyCEi4G3fGTRv6wfv9uNaalnsUhOqWBEUjA5Zg6PuSclk2DctBe4CQmHchoIniR6Qh9o0CMhO5d&#10;M2vb22aMoBJEqRHpdns28nXFN0bL/NUY1Jm5jhO3XFeo676szXollj2INFh5oSHewMILGyjpK9RW&#10;ZMFewP4F5a2EiNHkiYy+icZYqWsNVM20/aOa50EkXWshcTC9yoT/D1Z+OWzCE5AMY8IlpicoVRwN&#10;+PInfuzY8dl8cUNic3bq+Hxx19J3Fk4fM5Pk8PH+Zn5bHCR5VFtzBUmA+ZOOnpVNxzGDsP2QNzEE&#10;ak+EaRVOHD5jJhoU+DOgMAhxZ52rXXKBjTRis0VNJGhYjBOZcvqkCDb0FQejs6rElGiEfr9xwA6C&#10;2r973F6IU47f3ErCrcDh7FdN5/ogvgRVkw9aqMegWD4lmuJAs8wLG68VZ07T6Jdd9czCun/xJBIu&#10;UL1X3ctuH9WptqPeU9OrIpcBLVP167lGX5/R+gcAAAD//wMAUEsDBBQABgAIAAAAIQBvwN5v3AAA&#10;AAQBAAAPAAAAZHJzL2Rvd25yZXYueG1sTI9BS8NAEIXvgv9hGcGLtJsqlJpmUkRQUFBI9ZDjJjtm&#10;g9ndsLtpo7/e6ame5g1veO+bYjfbQRwoxN47hNUyA0Gu9bp3HcLnx9NiAyIm5bQavCOEH4qwKy8v&#10;CpVrf3QVHfapExziYq4QTEpjLmVsDVkVl34kx96XD1YlXkMndVBHDreDvM2ytbSqd9xg1EiPhtrv&#10;/WQRuqFZzea9qp/DzVT91rU2ry9viNdX88MWRKI5nY/hhM/oUDJT4yenoxgQ+JGEsObB5v3dSTQI&#10;mwxkWcj/8OUfAAAA//8DAFBLAQItABQABgAIAAAAIQC2gziS/gAAAOEBAAATAAAAAAAAAAAAAAAA&#10;AAAAAABbQ29udGVudF9UeXBlc10ueG1sUEsBAi0AFAAGAAgAAAAhADj9If/WAAAAlAEAAAsAAAAA&#10;AAAAAAAAAAAALwEAAF9yZWxzLy5yZWxzUEsBAi0AFAAGAAgAAAAhAHB7c0nMAQAAjgMAAA4AAAAA&#10;AAAAAAAAAAAALgIAAGRycy9lMm9Eb2MueG1sUEsBAi0AFAAGAAgAAAAhAG/A3m/cAAAABAEAAA8A&#10;AAAAAAAAAAAAAAAAJgQAAGRycy9kb3ducmV2LnhtbFBLBQYAAAAABAAEAPMAAAAvBQAAAAA=&#10;" strokecolor="#fed000" strokeweight="1pt"/>
            </w:pict>
          </mc:Fallback>
        </mc:AlternateContent>
      </w:r>
    </w:p>
    <w:p w14:paraId="4833E626" w14:textId="77777777" w:rsidR="00405177" w:rsidRDefault="00405177">
      <w:pPr>
        <w:widowControl w:val="0"/>
        <w:rPr>
          <w:rFonts w:ascii="Arial" w:eastAsia="Arial" w:hAnsi="Arial" w:cs="Arial"/>
          <w:b/>
          <w:sz w:val="20"/>
          <w:szCs w:val="20"/>
        </w:rPr>
      </w:pPr>
    </w:p>
    <w:p w14:paraId="0A111228" w14:textId="77777777" w:rsidR="00484638" w:rsidRDefault="00484638">
      <w:pPr>
        <w:widowControl w:val="0"/>
        <w:rPr>
          <w:rFonts w:ascii="Arial" w:eastAsia="Arial" w:hAnsi="Arial" w:cs="Arial"/>
          <w:b/>
          <w:sz w:val="20"/>
          <w:szCs w:val="20"/>
        </w:rPr>
      </w:pPr>
    </w:p>
    <w:p w14:paraId="4BF22D8C" w14:textId="77777777" w:rsidR="00484638" w:rsidRDefault="00484638">
      <w:pPr>
        <w:widowControl w:val="0"/>
        <w:rPr>
          <w:rFonts w:ascii="Arial" w:eastAsia="Arial" w:hAnsi="Arial" w:cs="Arial"/>
          <w:b/>
          <w:sz w:val="20"/>
          <w:szCs w:val="20"/>
        </w:rPr>
      </w:pPr>
    </w:p>
    <w:p w14:paraId="24CA235C" w14:textId="77777777" w:rsidR="00484638" w:rsidRDefault="00484638">
      <w:pPr>
        <w:widowControl w:val="0"/>
        <w:rPr>
          <w:rFonts w:ascii="Arial" w:eastAsia="Arial" w:hAnsi="Arial" w:cs="Arial"/>
          <w:b/>
          <w:sz w:val="20"/>
          <w:szCs w:val="20"/>
        </w:rPr>
      </w:pPr>
    </w:p>
    <w:p w14:paraId="4939BC30" w14:textId="77777777" w:rsidR="00484638" w:rsidRPr="00484638" w:rsidRDefault="00484638" w:rsidP="00484638">
      <w:pPr>
        <w:pBdr>
          <w:bottom w:val="single" w:sz="12" w:space="0" w:color="FFC000"/>
        </w:pBdr>
        <w:rPr>
          <w:rFonts w:ascii="Arial" w:eastAsia="Arial" w:hAnsi="Arial" w:cs="Arial"/>
          <w:b/>
          <w:sz w:val="20"/>
          <w:szCs w:val="20"/>
        </w:rPr>
      </w:pPr>
      <w:r w:rsidRPr="00484638">
        <w:rPr>
          <w:rFonts w:ascii="Arial" w:hAnsi="Arial" w:cs="Arial"/>
          <w:b/>
          <w:bCs/>
          <w:sz w:val="18"/>
          <w:szCs w:val="18"/>
        </w:rPr>
        <w:lastRenderedPageBreak/>
        <w:t>1.</w:t>
      </w:r>
      <w:r>
        <w:rPr>
          <w:rFonts w:ascii="Arial" w:hAnsi="Arial" w:cs="Arial"/>
          <w:b/>
          <w:bCs/>
          <w:sz w:val="18"/>
          <w:szCs w:val="18"/>
        </w:rPr>
        <w:t xml:space="preserve"> </w:t>
      </w:r>
      <w:r w:rsidRPr="00484638">
        <w:rPr>
          <w:rFonts w:ascii="Arial" w:hAnsi="Arial" w:cs="Arial"/>
          <w:b/>
          <w:bCs/>
          <w:sz w:val="18"/>
          <w:szCs w:val="18"/>
        </w:rPr>
        <w:t>Présentation du patrimoine ayant fait l’objet de la digitalisation (Dossier)</w:t>
      </w:r>
      <w:r w:rsidRPr="00484638">
        <w:rPr>
          <w:rFonts w:ascii="Arial" w:eastAsia="Arial" w:hAnsi="Arial" w:cs="Arial"/>
          <w:b/>
          <w:sz w:val="20"/>
          <w:szCs w:val="20"/>
        </w:rPr>
        <w:t xml:space="preserve"> </w:t>
      </w:r>
    </w:p>
    <w:p w14:paraId="46F569C9" w14:textId="77777777" w:rsidR="00484638" w:rsidRPr="00484638" w:rsidRDefault="00484638" w:rsidP="00484638">
      <w:pPr>
        <w:rPr>
          <w:rFonts w:ascii="Arial" w:hAnsi="Arial" w:cs="Arial"/>
          <w:sz w:val="18"/>
          <w:szCs w:val="18"/>
        </w:rPr>
      </w:pPr>
      <w:r w:rsidRPr="00484638">
        <w:rPr>
          <w:rFonts w:ascii="Arial" w:hAnsi="Arial" w:cs="Arial"/>
          <w:sz w:val="18"/>
          <w:szCs w:val="18"/>
        </w:rPr>
        <w:t>Contexte historique, humain et social du patrimoine. Description physique du patrimoine, récits associées et faits saillants inscrivant ce patrimoine dans l’identité du territoire.</w:t>
      </w:r>
    </w:p>
    <w:p w14:paraId="4FE81085"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Le candidat fournit au jury des photos, vidéos et ressources écrites lui permettant de découvrir le patrimoine objet de l’action avant sa digitalisation. </w:t>
      </w:r>
    </w:p>
    <w:p w14:paraId="14CEA99E" w14:textId="77777777" w:rsidR="00484638" w:rsidRPr="00484638" w:rsidRDefault="00484638" w:rsidP="00484638">
      <w:pPr>
        <w:rPr>
          <w:rFonts w:ascii="Arial" w:hAnsi="Arial" w:cs="Arial"/>
          <w:sz w:val="18"/>
          <w:szCs w:val="18"/>
        </w:rPr>
      </w:pPr>
    </w:p>
    <w:p w14:paraId="574DCA12" w14:textId="77777777" w:rsidR="00484638" w:rsidRDefault="00484638" w:rsidP="00484638">
      <w:pPr>
        <w:pBdr>
          <w:bottom w:val="single" w:sz="12" w:space="0" w:color="FFC000"/>
        </w:pBdr>
        <w:spacing w:after="0" w:line="240" w:lineRule="auto"/>
        <w:rPr>
          <w:rFonts w:ascii="Arial" w:eastAsia="Arial" w:hAnsi="Arial" w:cs="Arial"/>
          <w:b/>
          <w:sz w:val="20"/>
          <w:szCs w:val="20"/>
        </w:rPr>
      </w:pPr>
      <w:r w:rsidRPr="00484638">
        <w:rPr>
          <w:rFonts w:ascii="Arial" w:hAnsi="Arial" w:cs="Arial"/>
          <w:b/>
          <w:bCs/>
          <w:sz w:val="18"/>
          <w:szCs w:val="18"/>
        </w:rPr>
        <w:t>2</w:t>
      </w:r>
      <w:r>
        <w:rPr>
          <w:rFonts w:ascii="Arial" w:hAnsi="Arial" w:cs="Arial"/>
          <w:b/>
          <w:bCs/>
          <w:sz w:val="18"/>
          <w:szCs w:val="18"/>
        </w:rPr>
        <w:t xml:space="preserve">. </w:t>
      </w:r>
      <w:r w:rsidRPr="00484638">
        <w:rPr>
          <w:rFonts w:ascii="Arial" w:hAnsi="Arial" w:cs="Arial"/>
          <w:b/>
          <w:bCs/>
          <w:sz w:val="18"/>
          <w:szCs w:val="18"/>
        </w:rPr>
        <w:t>Description du projet (Dossier)</w:t>
      </w:r>
      <w:r w:rsidRPr="00484638">
        <w:rPr>
          <w:rFonts w:ascii="Arial" w:eastAsia="Arial" w:hAnsi="Arial" w:cs="Arial"/>
          <w:b/>
          <w:sz w:val="20"/>
          <w:szCs w:val="20"/>
        </w:rPr>
        <w:t xml:space="preserve"> </w:t>
      </w:r>
    </w:p>
    <w:p w14:paraId="5E4DECCE" w14:textId="77777777" w:rsidR="00484638" w:rsidRPr="00484638" w:rsidRDefault="00484638" w:rsidP="00484638">
      <w:pPr>
        <w:rPr>
          <w:rFonts w:ascii="Arial" w:hAnsi="Arial" w:cs="Arial"/>
          <w:b/>
          <w:bCs/>
          <w:sz w:val="18"/>
          <w:szCs w:val="18"/>
        </w:rPr>
      </w:pPr>
    </w:p>
    <w:p w14:paraId="6E8273A0"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Constats de départ</w:t>
      </w:r>
    </w:p>
    <w:p w14:paraId="1D9AA455"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Enjeux identifiés</w:t>
      </w:r>
    </w:p>
    <w:p w14:paraId="509F173C"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Objectifs fixés et publics ciblés</w:t>
      </w:r>
    </w:p>
    <w:p w14:paraId="024B4825"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Contraintes imposées aux maîtres d’ouvrage (techniques, scientifiques, environnementales, financières, juridiques...)</w:t>
      </w:r>
    </w:p>
    <w:p w14:paraId="1D1B63C6"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Processus de sélection des maîtres d’œuvre et critères de choix</w:t>
      </w:r>
    </w:p>
    <w:p w14:paraId="3ECF5C7A"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Types de maître d’ouvrage retenus (noms, adresses et contacts des maîtres d’œuvre)</w:t>
      </w:r>
    </w:p>
    <w:p w14:paraId="341B91FB"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Description des technologies numériques mises en œuvre dans le cadre de l’action et des savoir-faire déployés</w:t>
      </w:r>
    </w:p>
    <w:p w14:paraId="20BC25F9"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Phasage des actions et calendrier de réalisation</w:t>
      </w:r>
    </w:p>
    <w:p w14:paraId="6D09887D"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Évaluation et résultats, positifs et négatifs, et description des externalités positives et négatives de l’action</w:t>
      </w:r>
    </w:p>
    <w:p w14:paraId="21C604BF" w14:textId="77777777" w:rsidR="00484638" w:rsidRPr="00484638" w:rsidRDefault="00484638" w:rsidP="00484638">
      <w:pPr>
        <w:pStyle w:val="Paragraphedeliste"/>
        <w:numPr>
          <w:ilvl w:val="0"/>
          <w:numId w:val="4"/>
        </w:numPr>
        <w:rPr>
          <w:rFonts w:ascii="Arial" w:hAnsi="Arial" w:cs="Arial"/>
          <w:sz w:val="18"/>
          <w:szCs w:val="18"/>
        </w:rPr>
      </w:pPr>
      <w:r w:rsidRPr="00484638">
        <w:rPr>
          <w:rFonts w:ascii="Arial" w:hAnsi="Arial" w:cs="Arial"/>
          <w:sz w:val="18"/>
          <w:szCs w:val="18"/>
        </w:rPr>
        <w:t>Premiers enseignements tirés par le Maître d’Ouvrage</w:t>
      </w:r>
    </w:p>
    <w:p w14:paraId="44B0C510" w14:textId="77777777" w:rsidR="00484638" w:rsidRPr="00484638" w:rsidRDefault="00484638" w:rsidP="00484638">
      <w:pPr>
        <w:rPr>
          <w:rFonts w:ascii="Arial" w:hAnsi="Arial" w:cs="Arial"/>
          <w:sz w:val="18"/>
          <w:szCs w:val="18"/>
        </w:rPr>
      </w:pPr>
    </w:p>
    <w:p w14:paraId="4C84E10F" w14:textId="77777777" w:rsidR="00484638" w:rsidRPr="00484638" w:rsidRDefault="00484638" w:rsidP="00484638">
      <w:pPr>
        <w:rPr>
          <w:rFonts w:ascii="Arial" w:hAnsi="Arial" w:cs="Arial"/>
          <w:sz w:val="18"/>
          <w:szCs w:val="18"/>
        </w:rPr>
      </w:pPr>
      <w:r w:rsidRPr="00484638">
        <w:rPr>
          <w:rFonts w:ascii="Arial" w:hAnsi="Arial" w:cs="Arial"/>
          <w:sz w:val="18"/>
          <w:szCs w:val="18"/>
        </w:rPr>
        <w:t>Le candidat fournit au jury tout élément produit lui permettant de s’approcher de l’expérience proposée aux publics de l’action de digitalisation patrimoniale (photos, vidéos,  applications, contenus web...)</w:t>
      </w:r>
    </w:p>
    <w:p w14:paraId="20BAEC05" w14:textId="77777777" w:rsidR="00484638" w:rsidRDefault="00484638" w:rsidP="00484638">
      <w:pPr>
        <w:rPr>
          <w:rFonts w:ascii="Arial" w:hAnsi="Arial" w:cs="Arial"/>
          <w:b/>
          <w:bCs/>
          <w:sz w:val="18"/>
          <w:szCs w:val="18"/>
        </w:rPr>
      </w:pPr>
    </w:p>
    <w:p w14:paraId="3DFD410D" w14:textId="77777777" w:rsidR="00484638" w:rsidRDefault="00484638" w:rsidP="00484638">
      <w:pPr>
        <w:pBdr>
          <w:bottom w:val="single" w:sz="12" w:space="0" w:color="FFC000"/>
        </w:pBdr>
        <w:spacing w:after="0" w:line="240" w:lineRule="auto"/>
        <w:rPr>
          <w:rFonts w:ascii="Arial" w:eastAsia="Arial" w:hAnsi="Arial" w:cs="Arial"/>
          <w:b/>
          <w:sz w:val="20"/>
          <w:szCs w:val="20"/>
        </w:rPr>
      </w:pPr>
      <w:r w:rsidRPr="00484638">
        <w:rPr>
          <w:rFonts w:ascii="Arial" w:hAnsi="Arial" w:cs="Arial"/>
          <w:b/>
          <w:bCs/>
          <w:sz w:val="18"/>
          <w:szCs w:val="18"/>
        </w:rPr>
        <w:t>3</w:t>
      </w:r>
      <w:r>
        <w:rPr>
          <w:rFonts w:ascii="Arial" w:hAnsi="Arial" w:cs="Arial"/>
          <w:b/>
          <w:bCs/>
          <w:sz w:val="18"/>
          <w:szCs w:val="18"/>
        </w:rPr>
        <w:t>.</w:t>
      </w:r>
      <w:r w:rsidRPr="00484638">
        <w:rPr>
          <w:rFonts w:ascii="Arial" w:hAnsi="Arial" w:cs="Arial"/>
          <w:b/>
          <w:bCs/>
          <w:sz w:val="18"/>
          <w:szCs w:val="18"/>
        </w:rPr>
        <w:t xml:space="preserve"> Auto-évaluation du projet</w:t>
      </w:r>
    </w:p>
    <w:p w14:paraId="37B56345" w14:textId="77777777" w:rsidR="00484638" w:rsidRPr="00484638" w:rsidRDefault="00484638" w:rsidP="00484638">
      <w:pPr>
        <w:rPr>
          <w:rFonts w:ascii="Arial" w:hAnsi="Arial" w:cs="Arial"/>
          <w:b/>
          <w:bCs/>
          <w:sz w:val="18"/>
          <w:szCs w:val="18"/>
        </w:rPr>
      </w:pPr>
    </w:p>
    <w:p w14:paraId="44AE15D9"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A/ </w:t>
      </w:r>
      <w:r w:rsidRPr="00484638">
        <w:rPr>
          <w:rFonts w:ascii="Arial" w:hAnsi="Arial" w:cs="Arial"/>
          <w:sz w:val="18"/>
          <w:szCs w:val="18"/>
          <w:u w:val="single"/>
        </w:rPr>
        <w:t>Relation entre le patrimoine digitalisé et le territoire</w:t>
      </w:r>
      <w:r w:rsidRPr="00484638">
        <w:rPr>
          <w:rFonts w:ascii="Arial" w:hAnsi="Arial" w:cs="Arial"/>
          <w:sz w:val="18"/>
          <w:szCs w:val="18"/>
        </w:rPr>
        <w:t xml:space="preserve">. La force de cette relation dépend du lien entre le patrimoine digitalisé et l’histoire du territoire, son identité, mais aussi à l’implication des habitants dans le projet. </w:t>
      </w:r>
    </w:p>
    <w:p w14:paraId="6589001E"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forte</w:t>
      </w:r>
    </w:p>
    <w:p w14:paraId="53D67A61"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Forte</w:t>
      </w:r>
    </w:p>
    <w:p w14:paraId="6621C243"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38267B2D" w14:textId="77777777" w:rsidR="00484638" w:rsidRPr="00484638" w:rsidRDefault="00484638" w:rsidP="00484638">
      <w:pPr>
        <w:rPr>
          <w:rFonts w:ascii="Arial" w:hAnsi="Arial" w:cs="Arial"/>
          <w:sz w:val="18"/>
          <w:szCs w:val="18"/>
        </w:rPr>
      </w:pPr>
    </w:p>
    <w:p w14:paraId="37504A56" w14:textId="77777777" w:rsidR="00484638" w:rsidRPr="00484638" w:rsidRDefault="00484638" w:rsidP="00484638">
      <w:pPr>
        <w:rPr>
          <w:rFonts w:ascii="Arial" w:hAnsi="Arial" w:cs="Arial"/>
          <w:sz w:val="18"/>
          <w:szCs w:val="18"/>
        </w:rPr>
      </w:pPr>
      <w:r w:rsidRPr="00484638">
        <w:rPr>
          <w:rFonts w:ascii="Arial" w:hAnsi="Arial" w:cs="Arial"/>
          <w:sz w:val="18"/>
          <w:szCs w:val="18"/>
        </w:rPr>
        <w:t>Explication de l’auto-évaluation</w:t>
      </w:r>
    </w:p>
    <w:p w14:paraId="1E4088A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CC840F8"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971480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9E61263"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A5C1682" w14:textId="77777777" w:rsidR="00484638" w:rsidRDefault="00484638" w:rsidP="00484638">
      <w:pPr>
        <w:rPr>
          <w:rFonts w:ascii="Arial" w:hAnsi="Arial" w:cs="Arial"/>
          <w:sz w:val="18"/>
          <w:szCs w:val="18"/>
        </w:rPr>
      </w:pPr>
    </w:p>
    <w:p w14:paraId="39D8826C" w14:textId="77777777" w:rsidR="00484638" w:rsidRDefault="00484638" w:rsidP="00484638">
      <w:pPr>
        <w:rPr>
          <w:rFonts w:ascii="Arial" w:hAnsi="Arial" w:cs="Arial"/>
          <w:sz w:val="18"/>
          <w:szCs w:val="18"/>
        </w:rPr>
      </w:pPr>
    </w:p>
    <w:p w14:paraId="42103330"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B/ </w:t>
      </w:r>
      <w:r w:rsidRPr="00484638">
        <w:rPr>
          <w:rFonts w:ascii="Arial" w:hAnsi="Arial" w:cs="Arial"/>
          <w:sz w:val="18"/>
          <w:szCs w:val="18"/>
          <w:u w:val="single"/>
        </w:rPr>
        <w:t>Intégration de la réflexion numérique dans la réflexion globale du projet</w:t>
      </w:r>
      <w:r w:rsidRPr="00484638">
        <w:rPr>
          <w:rFonts w:ascii="Arial" w:hAnsi="Arial" w:cs="Arial"/>
          <w:sz w:val="18"/>
          <w:szCs w:val="18"/>
        </w:rPr>
        <w:t xml:space="preserve">. La force de cette intégration dépend du rôle assigné aux technologies numériques dans le projet, sont-elles ajoutées à l’expérience in situ ou sont-elles à la base de l’expérience créée. </w:t>
      </w:r>
    </w:p>
    <w:p w14:paraId="02889CFF"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forte</w:t>
      </w:r>
    </w:p>
    <w:p w14:paraId="4DFB8CF8"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Forte</w:t>
      </w:r>
    </w:p>
    <w:p w14:paraId="465BF7FD"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514572FC" w14:textId="77777777" w:rsidR="00484638" w:rsidRPr="00484638" w:rsidRDefault="00484638" w:rsidP="00484638">
      <w:pPr>
        <w:rPr>
          <w:rFonts w:ascii="Arial" w:hAnsi="Arial" w:cs="Arial"/>
          <w:sz w:val="18"/>
          <w:szCs w:val="18"/>
        </w:rPr>
      </w:pPr>
    </w:p>
    <w:p w14:paraId="705911B9" w14:textId="77777777" w:rsidR="00484638" w:rsidRPr="00484638" w:rsidRDefault="00484638" w:rsidP="00484638">
      <w:pPr>
        <w:rPr>
          <w:rFonts w:ascii="Arial" w:hAnsi="Arial" w:cs="Arial"/>
          <w:sz w:val="18"/>
          <w:szCs w:val="18"/>
        </w:rPr>
      </w:pPr>
      <w:r w:rsidRPr="00484638">
        <w:rPr>
          <w:rFonts w:ascii="Arial" w:hAnsi="Arial" w:cs="Arial"/>
          <w:sz w:val="18"/>
          <w:szCs w:val="18"/>
        </w:rPr>
        <w:lastRenderedPageBreak/>
        <w:t xml:space="preserve"> Explication de l’auto-évaluation</w:t>
      </w:r>
    </w:p>
    <w:p w14:paraId="2409E0CB"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A018584"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76BF485"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3904472"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09E90BE" w14:textId="77777777" w:rsidR="00484638" w:rsidRPr="00484638" w:rsidRDefault="00484638" w:rsidP="00484638">
      <w:pPr>
        <w:rPr>
          <w:rFonts w:ascii="Arial" w:hAnsi="Arial" w:cs="Arial"/>
          <w:sz w:val="18"/>
          <w:szCs w:val="18"/>
        </w:rPr>
      </w:pPr>
    </w:p>
    <w:p w14:paraId="0E23C63B"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C/ </w:t>
      </w:r>
      <w:r w:rsidRPr="00484638">
        <w:rPr>
          <w:rFonts w:ascii="Arial" w:hAnsi="Arial" w:cs="Arial"/>
          <w:sz w:val="18"/>
          <w:szCs w:val="18"/>
          <w:u w:val="single"/>
        </w:rPr>
        <w:t>Degré d’innovation</w:t>
      </w:r>
      <w:r w:rsidRPr="00484638">
        <w:rPr>
          <w:rFonts w:ascii="Arial" w:hAnsi="Arial" w:cs="Arial"/>
          <w:sz w:val="18"/>
          <w:szCs w:val="18"/>
        </w:rPr>
        <w:t xml:space="preserve">. Le degré d’innovation dépend de la maturité des technologies employées et de l’originalité de l’expérience proposée. Il peut également intégrer l’innovation dans les processus de production ou de médiation autour du patrimoine digitalisé. L’innovation peut-être technique, cognitive ou encore dans la méthode employée pour conduire le projet. </w:t>
      </w:r>
    </w:p>
    <w:p w14:paraId="0D788CFE"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w:t>
      </w:r>
    </w:p>
    <w:p w14:paraId="64C5B1A8"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w:t>
      </w:r>
    </w:p>
    <w:p w14:paraId="0F3D5B84"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3FEC967E" w14:textId="77777777" w:rsidR="00484638" w:rsidRPr="00484638" w:rsidRDefault="00484638" w:rsidP="00484638">
      <w:pPr>
        <w:rPr>
          <w:rFonts w:ascii="Arial" w:hAnsi="Arial" w:cs="Arial"/>
          <w:sz w:val="18"/>
          <w:szCs w:val="18"/>
        </w:rPr>
      </w:pPr>
    </w:p>
    <w:p w14:paraId="72563ACF" w14:textId="77777777" w:rsidR="00484638" w:rsidRPr="00484638" w:rsidRDefault="00484638" w:rsidP="00484638">
      <w:pPr>
        <w:rPr>
          <w:rFonts w:ascii="Arial" w:hAnsi="Arial" w:cs="Arial"/>
          <w:sz w:val="18"/>
          <w:szCs w:val="18"/>
        </w:rPr>
      </w:pPr>
      <w:r w:rsidRPr="00484638">
        <w:rPr>
          <w:rFonts w:ascii="Arial" w:hAnsi="Arial" w:cs="Arial"/>
          <w:sz w:val="18"/>
          <w:szCs w:val="18"/>
        </w:rPr>
        <w:t>Explication de l’auto-évaluation</w:t>
      </w:r>
    </w:p>
    <w:p w14:paraId="711B0BA3"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59A508B"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C10C6B9"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AA4AC6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A77D04E" w14:textId="77777777" w:rsidR="00484638" w:rsidRPr="00484638" w:rsidRDefault="00484638" w:rsidP="00484638">
      <w:pPr>
        <w:rPr>
          <w:rFonts w:ascii="Arial" w:hAnsi="Arial" w:cs="Arial"/>
          <w:sz w:val="18"/>
          <w:szCs w:val="18"/>
        </w:rPr>
      </w:pPr>
    </w:p>
    <w:p w14:paraId="317EF9BB"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D/ </w:t>
      </w:r>
      <w:r w:rsidRPr="00484638">
        <w:rPr>
          <w:rFonts w:ascii="Arial" w:hAnsi="Arial" w:cs="Arial"/>
          <w:sz w:val="18"/>
          <w:szCs w:val="18"/>
          <w:u w:val="single"/>
        </w:rPr>
        <w:t>Degré de protection</w:t>
      </w:r>
      <w:r w:rsidRPr="00484638">
        <w:rPr>
          <w:rFonts w:ascii="Arial" w:hAnsi="Arial" w:cs="Arial"/>
          <w:sz w:val="18"/>
          <w:szCs w:val="18"/>
        </w:rPr>
        <w:t>. Le degré de protection dépend de la capacité du projet à préserver le patrimoine de dégradations immédiates ou prévisibles, ou à en favoriser la restauration ou la rénovation.</w:t>
      </w:r>
    </w:p>
    <w:p w14:paraId="6F3F5A04"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w:t>
      </w:r>
    </w:p>
    <w:p w14:paraId="6C6D388C"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w:t>
      </w:r>
    </w:p>
    <w:p w14:paraId="351F3EAF"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0AB481BD" w14:textId="77777777" w:rsidR="00484638" w:rsidRPr="00484638" w:rsidRDefault="00484638" w:rsidP="00484638">
      <w:pPr>
        <w:rPr>
          <w:rFonts w:ascii="Arial" w:hAnsi="Arial" w:cs="Arial"/>
          <w:sz w:val="18"/>
          <w:szCs w:val="18"/>
        </w:rPr>
      </w:pPr>
    </w:p>
    <w:p w14:paraId="49E1F20C" w14:textId="77777777" w:rsidR="00484638" w:rsidRPr="00484638" w:rsidRDefault="00484638" w:rsidP="00484638">
      <w:pPr>
        <w:rPr>
          <w:rFonts w:ascii="Arial" w:hAnsi="Arial" w:cs="Arial"/>
          <w:sz w:val="18"/>
          <w:szCs w:val="18"/>
        </w:rPr>
      </w:pPr>
      <w:r w:rsidRPr="00484638">
        <w:rPr>
          <w:rFonts w:ascii="Arial" w:hAnsi="Arial" w:cs="Arial"/>
          <w:sz w:val="18"/>
          <w:szCs w:val="18"/>
        </w:rPr>
        <w:t>Explication de l’auto-évaluation</w:t>
      </w:r>
    </w:p>
    <w:p w14:paraId="7C0F8DA6"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BBA0A98"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B355BA3"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9093DC7"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293D2A9" w14:textId="77777777" w:rsidR="00484638" w:rsidRPr="00484638" w:rsidRDefault="00484638" w:rsidP="00484638">
      <w:pPr>
        <w:rPr>
          <w:rFonts w:ascii="Arial" w:hAnsi="Arial" w:cs="Arial"/>
          <w:sz w:val="18"/>
          <w:szCs w:val="18"/>
        </w:rPr>
      </w:pPr>
    </w:p>
    <w:p w14:paraId="6C056F4A" w14:textId="77777777" w:rsidR="00484638" w:rsidRPr="00484638" w:rsidRDefault="00484638" w:rsidP="00484638">
      <w:pPr>
        <w:rPr>
          <w:rFonts w:ascii="Arial" w:hAnsi="Arial" w:cs="Arial"/>
          <w:sz w:val="18"/>
          <w:szCs w:val="18"/>
        </w:rPr>
      </w:pPr>
      <w:r w:rsidRPr="00484638">
        <w:rPr>
          <w:rFonts w:ascii="Arial" w:hAnsi="Arial" w:cs="Arial"/>
          <w:sz w:val="18"/>
          <w:szCs w:val="18"/>
        </w:rPr>
        <w:t xml:space="preserve">E/ </w:t>
      </w:r>
      <w:r w:rsidRPr="00484638">
        <w:rPr>
          <w:rFonts w:ascii="Arial" w:hAnsi="Arial" w:cs="Arial"/>
          <w:sz w:val="18"/>
          <w:szCs w:val="18"/>
          <w:u w:val="single"/>
        </w:rPr>
        <w:t>Niveau de Responsabilité Sociale et Environnementale</w:t>
      </w:r>
      <w:r w:rsidRPr="00484638">
        <w:rPr>
          <w:rFonts w:ascii="Arial" w:hAnsi="Arial" w:cs="Arial"/>
          <w:sz w:val="18"/>
          <w:szCs w:val="18"/>
        </w:rPr>
        <w:t>. Le niveau de RSE dépend de l’intensité des externalités positives induites par le projet pour le territoire, ses populations comme son environnement.</w:t>
      </w:r>
    </w:p>
    <w:p w14:paraId="278B582E"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Très fort</w:t>
      </w:r>
    </w:p>
    <w:p w14:paraId="27C29E93"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Fort</w:t>
      </w:r>
    </w:p>
    <w:p w14:paraId="704A3A47" w14:textId="77777777" w:rsidR="00484638" w:rsidRPr="00484638" w:rsidRDefault="00484638" w:rsidP="00484638">
      <w:pPr>
        <w:pStyle w:val="Paragraphedeliste"/>
        <w:numPr>
          <w:ilvl w:val="0"/>
          <w:numId w:val="5"/>
        </w:numPr>
        <w:rPr>
          <w:rFonts w:ascii="Arial" w:hAnsi="Arial" w:cs="Arial"/>
          <w:sz w:val="18"/>
          <w:szCs w:val="18"/>
        </w:rPr>
      </w:pPr>
      <w:r w:rsidRPr="00484638">
        <w:rPr>
          <w:rFonts w:ascii="Arial" w:hAnsi="Arial" w:cs="Arial"/>
          <w:sz w:val="18"/>
          <w:szCs w:val="18"/>
        </w:rPr>
        <w:t>Faible</w:t>
      </w:r>
    </w:p>
    <w:p w14:paraId="6AAA9D91" w14:textId="77777777" w:rsidR="00484638" w:rsidRPr="00484638" w:rsidRDefault="00484638" w:rsidP="00484638">
      <w:pPr>
        <w:rPr>
          <w:rFonts w:ascii="Arial" w:hAnsi="Arial" w:cs="Arial"/>
          <w:sz w:val="18"/>
          <w:szCs w:val="18"/>
        </w:rPr>
      </w:pPr>
    </w:p>
    <w:p w14:paraId="2E6BB38C" w14:textId="77777777" w:rsidR="00484638" w:rsidRPr="00484638" w:rsidRDefault="00484638" w:rsidP="00484638">
      <w:pPr>
        <w:rPr>
          <w:rFonts w:ascii="Arial" w:hAnsi="Arial" w:cs="Arial"/>
          <w:sz w:val="18"/>
          <w:szCs w:val="18"/>
        </w:rPr>
      </w:pPr>
      <w:r w:rsidRPr="00484638">
        <w:rPr>
          <w:rFonts w:ascii="Arial" w:hAnsi="Arial" w:cs="Arial"/>
          <w:sz w:val="18"/>
          <w:szCs w:val="18"/>
        </w:rPr>
        <w:t>Explication de l’auto-évaluation</w:t>
      </w:r>
    </w:p>
    <w:p w14:paraId="74D3BC9A"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9F7495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1EC68ADE"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1CA39E5"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061BD877" w14:textId="77777777" w:rsidR="00484638" w:rsidRPr="00484638" w:rsidRDefault="00484638" w:rsidP="00484638">
      <w:pPr>
        <w:rPr>
          <w:rFonts w:ascii="Arial" w:hAnsi="Arial" w:cs="Arial"/>
          <w:b/>
          <w:bCs/>
          <w:sz w:val="18"/>
          <w:szCs w:val="18"/>
        </w:rPr>
      </w:pPr>
    </w:p>
    <w:p w14:paraId="754C11A3" w14:textId="77777777" w:rsidR="00484638" w:rsidRDefault="00484638" w:rsidP="00484638">
      <w:pPr>
        <w:rPr>
          <w:rFonts w:ascii="Arial" w:hAnsi="Arial" w:cs="Arial"/>
          <w:b/>
          <w:bCs/>
          <w:sz w:val="18"/>
          <w:szCs w:val="18"/>
        </w:rPr>
      </w:pPr>
    </w:p>
    <w:p w14:paraId="024D9434" w14:textId="77777777" w:rsidR="00484638" w:rsidRPr="00484638" w:rsidRDefault="00484638" w:rsidP="00484638">
      <w:pPr>
        <w:rPr>
          <w:rFonts w:ascii="Arial" w:hAnsi="Arial" w:cs="Arial"/>
          <w:sz w:val="18"/>
          <w:szCs w:val="18"/>
        </w:rPr>
      </w:pPr>
      <w:r w:rsidRPr="00484638">
        <w:rPr>
          <w:rFonts w:ascii="Arial" w:hAnsi="Arial" w:cs="Arial"/>
          <w:b/>
          <w:bCs/>
          <w:sz w:val="18"/>
          <w:szCs w:val="18"/>
        </w:rPr>
        <w:lastRenderedPageBreak/>
        <w:t>Conclusion du candidat</w:t>
      </w:r>
      <w:r w:rsidRPr="00484638">
        <w:rPr>
          <w:rFonts w:ascii="Arial" w:hAnsi="Arial" w:cs="Arial"/>
          <w:sz w:val="18"/>
          <w:szCs w:val="18"/>
        </w:rPr>
        <w:t xml:space="preserve"> : Pourquoi pensez-vous mériter le Prix Geste d’Or – </w:t>
      </w:r>
      <w:proofErr w:type="spellStart"/>
      <w:r w:rsidRPr="00484638">
        <w:rPr>
          <w:rFonts w:ascii="Arial" w:hAnsi="Arial" w:cs="Arial"/>
          <w:sz w:val="18"/>
          <w:szCs w:val="18"/>
        </w:rPr>
        <w:t>Heritech</w:t>
      </w:r>
      <w:proofErr w:type="spellEnd"/>
      <w:r w:rsidRPr="00484638">
        <w:rPr>
          <w:rFonts w:ascii="Arial" w:hAnsi="Arial" w:cs="Arial"/>
          <w:sz w:val="18"/>
          <w:szCs w:val="18"/>
        </w:rPr>
        <w:t> ?</w:t>
      </w:r>
    </w:p>
    <w:p w14:paraId="753B3746"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BC474F6"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AC7EDF0"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22FFF1AC"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4FE71306"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ED1A837"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7C2F3A6A"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3AE0FF33" w14:textId="77777777" w:rsidR="00484638" w:rsidRDefault="00484638" w:rsidP="00484638">
      <w:pPr>
        <w:pBdr>
          <w:top w:val="nil"/>
          <w:left w:val="nil"/>
          <w:bottom w:val="dotted" w:sz="4" w:space="1" w:color="000000"/>
          <w:right w:val="nil"/>
          <w:between w:val="dotted" w:sz="4" w:space="1" w:color="000000"/>
        </w:pBdr>
        <w:spacing w:after="0" w:line="240" w:lineRule="auto"/>
        <w:jc w:val="both"/>
        <w:rPr>
          <w:rFonts w:ascii="Arial" w:eastAsia="Arial" w:hAnsi="Arial" w:cs="Arial"/>
          <w:color w:val="000000"/>
          <w:sz w:val="20"/>
          <w:szCs w:val="20"/>
        </w:rPr>
      </w:pPr>
    </w:p>
    <w:p w14:paraId="64AB29C2" w14:textId="77777777" w:rsidR="00484638" w:rsidRDefault="00484638">
      <w:pPr>
        <w:widowControl w:val="0"/>
        <w:rPr>
          <w:rFonts w:ascii="Arial" w:eastAsia="Arial" w:hAnsi="Arial" w:cs="Arial"/>
          <w:b/>
          <w:sz w:val="20"/>
          <w:szCs w:val="20"/>
        </w:rPr>
      </w:pPr>
    </w:p>
    <w:sectPr w:rsidR="00484638">
      <w:headerReference w:type="default" r:id="rId9"/>
      <w:pgSz w:w="11906" w:h="16838"/>
      <w:pgMar w:top="1741" w:right="992" w:bottom="1205" w:left="1332"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E543" w14:textId="77777777" w:rsidR="00E42C42" w:rsidRDefault="00E42C42">
      <w:pPr>
        <w:spacing w:after="0" w:line="240" w:lineRule="auto"/>
      </w:pPr>
      <w:r>
        <w:separator/>
      </w:r>
    </w:p>
  </w:endnote>
  <w:endnote w:type="continuationSeparator" w:id="0">
    <w:p w14:paraId="352065D0" w14:textId="77777777" w:rsidR="00E42C42" w:rsidRDefault="00E4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340F9" w14:textId="77777777" w:rsidR="00E42C42" w:rsidRDefault="00E42C42">
      <w:pPr>
        <w:spacing w:after="0" w:line="240" w:lineRule="auto"/>
      </w:pPr>
      <w:r>
        <w:separator/>
      </w:r>
    </w:p>
  </w:footnote>
  <w:footnote w:type="continuationSeparator" w:id="0">
    <w:p w14:paraId="4AA15092" w14:textId="77777777" w:rsidR="00E42C42" w:rsidRDefault="00E42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6967" w14:textId="77777777" w:rsidR="00405177" w:rsidRDefault="00EE0552">
    <w:pPr>
      <w:pBdr>
        <w:top w:val="nil"/>
        <w:left w:val="nil"/>
        <w:bottom w:val="nil"/>
        <w:right w:val="nil"/>
        <w:between w:val="nil"/>
      </w:pBdr>
      <w:tabs>
        <w:tab w:val="center" w:pos="4536"/>
        <w:tab w:val="right" w:pos="9072"/>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0AC"/>
    <w:multiLevelType w:val="hybridMultilevel"/>
    <w:tmpl w:val="F1063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0554B33"/>
    <w:multiLevelType w:val="hybridMultilevel"/>
    <w:tmpl w:val="4FDE4BE8"/>
    <w:lvl w:ilvl="0" w:tplc="B53C42D4">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694451"/>
    <w:multiLevelType w:val="multilevel"/>
    <w:tmpl w:val="1766E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F06BE"/>
    <w:multiLevelType w:val="hybridMultilevel"/>
    <w:tmpl w:val="5DC0E1A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cs="Wingdings" w:hint="default"/>
      </w:rPr>
    </w:lvl>
    <w:lvl w:ilvl="3" w:tplc="040C0001" w:tentative="1">
      <w:start w:val="1"/>
      <w:numFmt w:val="bullet"/>
      <w:lvlText w:val=""/>
      <w:lvlJc w:val="left"/>
      <w:pPr>
        <w:ind w:left="2804" w:hanging="360"/>
      </w:pPr>
      <w:rPr>
        <w:rFonts w:ascii="Symbol" w:hAnsi="Symbol" w:cs="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cs="Wingdings" w:hint="default"/>
      </w:rPr>
    </w:lvl>
    <w:lvl w:ilvl="6" w:tplc="040C0001" w:tentative="1">
      <w:start w:val="1"/>
      <w:numFmt w:val="bullet"/>
      <w:lvlText w:val=""/>
      <w:lvlJc w:val="left"/>
      <w:pPr>
        <w:ind w:left="4964" w:hanging="360"/>
      </w:pPr>
      <w:rPr>
        <w:rFonts w:ascii="Symbol" w:hAnsi="Symbol" w:cs="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cs="Wingdings" w:hint="default"/>
      </w:rPr>
    </w:lvl>
  </w:abstractNum>
  <w:abstractNum w:abstractNumId="4" w15:restartNumberingAfterBreak="0">
    <w:nsid w:val="31123CA2"/>
    <w:multiLevelType w:val="multilevel"/>
    <w:tmpl w:val="C4F45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2E0FB7"/>
    <w:multiLevelType w:val="hybridMultilevel"/>
    <w:tmpl w:val="77602932"/>
    <w:lvl w:ilvl="0" w:tplc="3976F098">
      <w:start w:val="1"/>
      <w:numFmt w:val="decimal"/>
      <w:lvlText w:val="%1."/>
      <w:lvlJc w:val="left"/>
      <w:pPr>
        <w:ind w:left="720" w:hanging="360"/>
      </w:pPr>
      <w:rPr>
        <w:rFonts w:eastAsia="Calibri"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71380E"/>
    <w:multiLevelType w:val="hybridMultilevel"/>
    <w:tmpl w:val="6480E5C0"/>
    <w:lvl w:ilvl="0" w:tplc="788869B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7422EE6"/>
    <w:multiLevelType w:val="hybridMultilevel"/>
    <w:tmpl w:val="CF70B33C"/>
    <w:lvl w:ilvl="0" w:tplc="C262CB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8078">
    <w:abstractNumId w:val="4"/>
  </w:num>
  <w:num w:numId="2" w16cid:durableId="168982995">
    <w:abstractNumId w:val="2"/>
  </w:num>
  <w:num w:numId="3" w16cid:durableId="1248729673">
    <w:abstractNumId w:val="3"/>
  </w:num>
  <w:num w:numId="4" w16cid:durableId="1507939449">
    <w:abstractNumId w:val="0"/>
  </w:num>
  <w:num w:numId="5" w16cid:durableId="1451047641">
    <w:abstractNumId w:val="6"/>
  </w:num>
  <w:num w:numId="6" w16cid:durableId="1645962322">
    <w:abstractNumId w:val="7"/>
  </w:num>
  <w:num w:numId="7" w16cid:durableId="19935269">
    <w:abstractNumId w:val="1"/>
  </w:num>
  <w:num w:numId="8" w16cid:durableId="185488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05177"/>
    <w:rsid w:val="000020F8"/>
    <w:rsid w:val="00007271"/>
    <w:rsid w:val="00090EAF"/>
    <w:rsid w:val="00124C04"/>
    <w:rsid w:val="00202158"/>
    <w:rsid w:val="00327F61"/>
    <w:rsid w:val="0036146E"/>
    <w:rsid w:val="003E7AF5"/>
    <w:rsid w:val="0040250C"/>
    <w:rsid w:val="00405177"/>
    <w:rsid w:val="00407754"/>
    <w:rsid w:val="00484638"/>
    <w:rsid w:val="00693BC5"/>
    <w:rsid w:val="006A0C65"/>
    <w:rsid w:val="00870225"/>
    <w:rsid w:val="008C143D"/>
    <w:rsid w:val="00A61099"/>
    <w:rsid w:val="00CB13DE"/>
    <w:rsid w:val="00CE14BE"/>
    <w:rsid w:val="00D043FD"/>
    <w:rsid w:val="00E173E0"/>
    <w:rsid w:val="00E42C42"/>
    <w:rsid w:val="00EE05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F00A0"/>
  <w15:docId w15:val="{68505758-93E2-46FB-A3F4-D14B3A9F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m-2421669281801852755msolistparagraph">
    <w:name w:val="m_-2421669281801852755msolistparagraph"/>
    <w:basedOn w:val="Normal"/>
    <w:rsid w:val="00CE14BE"/>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EE0552"/>
    <w:pPr>
      <w:tabs>
        <w:tab w:val="center" w:pos="4536"/>
        <w:tab w:val="right" w:pos="9072"/>
      </w:tabs>
      <w:spacing w:after="0" w:line="240" w:lineRule="auto"/>
    </w:pPr>
  </w:style>
  <w:style w:type="character" w:customStyle="1" w:styleId="En-tteCar">
    <w:name w:val="En-tête Car"/>
    <w:basedOn w:val="Policepardfaut"/>
    <w:link w:val="En-tte"/>
    <w:uiPriority w:val="99"/>
    <w:rsid w:val="00EE0552"/>
  </w:style>
  <w:style w:type="paragraph" w:styleId="Pieddepage">
    <w:name w:val="footer"/>
    <w:basedOn w:val="Normal"/>
    <w:link w:val="PieddepageCar"/>
    <w:uiPriority w:val="99"/>
    <w:unhideWhenUsed/>
    <w:rsid w:val="00EE05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0552"/>
  </w:style>
  <w:style w:type="paragraph" w:styleId="Textedebulles">
    <w:name w:val="Balloon Text"/>
    <w:basedOn w:val="Normal"/>
    <w:link w:val="TextedebullesCar"/>
    <w:uiPriority w:val="99"/>
    <w:semiHidden/>
    <w:unhideWhenUsed/>
    <w:rsid w:val="00EE05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0552"/>
    <w:rPr>
      <w:rFonts w:ascii="Tahoma" w:hAnsi="Tahoma" w:cs="Tahoma"/>
      <w:sz w:val="16"/>
      <w:szCs w:val="16"/>
    </w:rPr>
  </w:style>
  <w:style w:type="paragraph" w:styleId="Paragraphedeliste">
    <w:name w:val="List Paragraph"/>
    <w:basedOn w:val="Normal"/>
    <w:uiPriority w:val="34"/>
    <w:qFormat/>
    <w:rsid w:val="00484638"/>
    <w:pPr>
      <w:spacing w:after="0" w:line="240" w:lineRule="auto"/>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9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3879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Geste d'Or</dc:creator>
  <cp:lastModifiedBy>Léna Beys</cp:lastModifiedBy>
  <cp:revision>4</cp:revision>
  <cp:lastPrinted>2020-06-26T12:22:00Z</cp:lastPrinted>
  <dcterms:created xsi:type="dcterms:W3CDTF">2021-06-11T09:08:00Z</dcterms:created>
  <dcterms:modified xsi:type="dcterms:W3CDTF">2022-05-17T08:24:00Z</dcterms:modified>
</cp:coreProperties>
</file>